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CFB78" w14:textId="77777777" w:rsidR="00DC03F8" w:rsidRPr="00DC03F8" w:rsidRDefault="00DC03F8" w:rsidP="00DC03F8">
      <w:pPr>
        <w:shd w:val="clear" w:color="auto" w:fill="FFFFFF"/>
        <w:spacing w:after="0" w:line="264" w:lineRule="atLeast"/>
        <w:textAlignment w:val="baseline"/>
        <w:outlineLvl w:val="0"/>
        <w:rPr>
          <w:rFonts w:ascii="Helvetica" w:eastAsia="Times New Roman" w:hAnsi="Helvetica" w:cs="Helvetica"/>
          <w:caps/>
          <w:color w:val="11202A"/>
          <w:spacing w:val="15"/>
          <w:kern w:val="36"/>
          <w:sz w:val="24"/>
          <w:szCs w:val="24"/>
          <w:lang w:eastAsia="ru-RU"/>
        </w:rPr>
      </w:pPr>
      <w:r w:rsidRPr="00DC03F8">
        <w:rPr>
          <w:rFonts w:ascii="Helvetica" w:eastAsia="Times New Roman" w:hAnsi="Helvetica" w:cs="Helvetica"/>
          <w:caps/>
          <w:color w:val="11202A"/>
          <w:spacing w:val="15"/>
          <w:kern w:val="36"/>
          <w:sz w:val="24"/>
          <w:szCs w:val="24"/>
          <w:lang w:eastAsia="ru-RU"/>
        </w:rPr>
        <w:t>ВСЕРОССИЙСКИЙ ДЕНЬ ПРАВОВОЙ ПОМОЩИ ДЕТЯМ</w:t>
      </w:r>
    </w:p>
    <w:p w14:paraId="62351DF7" w14:textId="5D43509F" w:rsidR="00DC03F8" w:rsidRPr="00DC03F8" w:rsidRDefault="00DC03F8" w:rsidP="00DC03F8">
      <w:pPr>
        <w:spacing w:after="120" w:line="264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202A"/>
          <w:sz w:val="24"/>
          <w:szCs w:val="24"/>
          <w:lang w:eastAsia="ru-RU"/>
        </w:rPr>
      </w:pPr>
      <w:r w:rsidRPr="00DC03F8">
        <w:rPr>
          <w:rFonts w:ascii="Helvetica" w:eastAsia="Times New Roman" w:hAnsi="Helvetica" w:cs="Helvetica"/>
          <w:b/>
          <w:bCs/>
          <w:color w:val="11202A"/>
          <w:sz w:val="24"/>
          <w:szCs w:val="24"/>
          <w:lang w:eastAsia="ru-RU"/>
        </w:rPr>
        <w:t>Методические рекомендации к проведению мероприятий, приуроченных к Всероссийскому дню правовой помощи детям (20 ноября)</w:t>
      </w:r>
    </w:p>
    <w:p w14:paraId="2ACB6991" w14:textId="77777777" w:rsidR="00DC03F8" w:rsidRPr="00DC03F8" w:rsidRDefault="00DC03F8" w:rsidP="00DC03F8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14:paraId="589DBB89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Права ребёнка – это свод прав детей, зафиксированных в международных документах по правам ребенка, которые нашли свое отражение и в нормативных правовых актах Российской Федерации. Российская Федерация признает, что детство является важным этапом жизни человека, интересы детей являются одним из важнейших приоритетов государственной политики.</w:t>
      </w:r>
    </w:p>
    <w:p w14:paraId="36306B22" w14:textId="77777777" w:rsidR="00DC03F8" w:rsidRPr="00DC03F8" w:rsidRDefault="00DC03F8" w:rsidP="00DC03F8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Декларация прав ребёнка принята резолюцией 1386 (XIV) Генеральной Ассамблеи ООН от 20 ноября 1959 года, в которой содержатся десять основных принципов, определяющих действия всех, кто отвечает за осуществление прав детей (</w:t>
      </w:r>
      <w:hyperlink r:id="rId5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https://www.un.org/ru/documents/decl_conv/declarations/childdec.shtml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).</w:t>
      </w:r>
    </w:p>
    <w:p w14:paraId="7A8AD48F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Через 30 лет, именно 20 ноября 1989 года, была принята Конвенция о правах ребёнка.</w:t>
      </w:r>
    </w:p>
    <w:p w14:paraId="3B0970A7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Международная Декларация по правам детей – это официальный документ, принятый международным сообществом, в котором прописаны обязанности взрослого перед ребенком. Декларация предусматривает одинаковые для всех несовершеннолетних права при воспитании, образовании, физическом и духовном развитии, при этом неважно, какая раса у ребёнка, на каком языке он говорит, какую религию исповедует и т. д. Конвенция определяет волю несовершеннолетних на получение образования, на проведение отдыха и досуга, на пользование другими услугами государств, входящих в ООН и подписавших этот документ. Конвенция – это первый и основной международно-правовой документ, определяющий права несовершеннолетних.</w:t>
      </w:r>
    </w:p>
    <w:p w14:paraId="74339680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Официальные документы ООН рекомендуют всем странам ввести в практику празднование 20 ноября Всемирного дня ребёнка как дня мирового братства и взаимопонимания детей, посвящённого деятельности, направленной на обеспечение благополучия детей во всем мире. В рамках этого дня проводятся мероприятия, посвящённые детям (открытые уроки, просветительные занятия, семинары, конференции, лекции, акций, демонстрации и флешмобы, сбор пожертвований детским домам и малоимущим семьям благотворительными фондами). Основная цель этого дня – привлечь внимание общественности к 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законодательным нормам, обеспечивающим благоприятное развитие и становление личности несовершеннолетних членов социума.</w:t>
      </w:r>
    </w:p>
    <w:p w14:paraId="7A21928D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В соответствии с решением Правительственной комиссии по вопросам реализации Федерального закона от 21.11.2011 № 324-ФЗ «О бесплатной юридической помощи в Российской Федерации» с 2013 года ежегодно в Российской Федерации проводится Всероссийский день правовой помощи детям, приуроченный к Всемирному дню ребёнка.</w:t>
      </w:r>
    </w:p>
    <w:p w14:paraId="75001458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Основная задача проведения Всероссийского дня правовой помощи детям – правовая помощь детям-сиротам и детям, находящимся в трудной жизненной ситуации, а также широкое информирование граждан о возможностях системы бесплатной юридической помощи. В этот день во всех субъектах Российской Федерации организуются пункты бесплатных юридических консультаций по вопросам прав детей, опеки, попечительства и детско-родительских отношений. Помимо оказания бесплатной юридической помощи, в этот день будут проводиться дополнительные мероприятия по правовому консультированию детей и их родителей в образовательных организациях, а также на базе общественных приёмных, центров бесплатной юридической помощи во всех регионах России.</w:t>
      </w:r>
    </w:p>
    <w:p w14:paraId="1F196E2E" w14:textId="77777777" w:rsidR="00DC03F8" w:rsidRPr="00DC03F8" w:rsidRDefault="00DC03F8" w:rsidP="00DC03F8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>Основные подходы в организации проведения мероприятий, приуроченных к Всероссийскому дню правовой помощи детям,</w:t>
      </w:r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br/>
        <w:t>в образовательных организациях</w:t>
      </w:r>
    </w:p>
    <w:p w14:paraId="2DA49814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Профилактическая работа в образовательной организации по правовому просвещению и воспитанию обучающихся является средством профилактики правонарушений и борьбы с негативными проявлениями в подростковой и молодёжной среде. Воспитание целостной личности, сочетающей в себе следование принципам морали, духовное и культурное богатство, законопослушность невозможно без правового просвещения и правового воспитания обучающегося.</w:t>
      </w:r>
    </w:p>
    <w:p w14:paraId="1E6B080A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Целью правового просвещения в образовательной организации является формирование правовой культуры, правовых знаний.</w:t>
      </w:r>
    </w:p>
    <w:p w14:paraId="0B203A22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В Всероссийский день правовой помощи детям в образовательных организациях рекомендуется провести занятия правовой грамотности, направленные на:</w:t>
      </w:r>
    </w:p>
    <w:p w14:paraId="6E62DD4D" w14:textId="77777777" w:rsidR="00DC03F8" w:rsidRPr="00DC03F8" w:rsidRDefault="00DC03F8" w:rsidP="00DC03F8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акцентирование внимания учащихся, их родителей и педагогов в вопросах прав и свобод ребёнка как полноценного участника правовых отношений;</w:t>
      </w:r>
    </w:p>
    <w:p w14:paraId="61D0C097" w14:textId="77777777" w:rsidR="00DC03F8" w:rsidRPr="00DC03F8" w:rsidRDefault="00DC03F8" w:rsidP="00DC03F8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способствование развитию интереса учащихся к вопросам правового образования, определения ими своего отношения к праву как общественной ценности;</w:t>
      </w:r>
    </w:p>
    <w:p w14:paraId="2079572B" w14:textId="77777777" w:rsidR="00DC03F8" w:rsidRPr="00DC03F8" w:rsidRDefault="00DC03F8" w:rsidP="00DC03F8">
      <w:pPr>
        <w:numPr>
          <w:ilvl w:val="0"/>
          <w:numId w:val="1"/>
        </w:numPr>
        <w:spacing w:after="0" w:line="396" w:lineRule="atLeast"/>
        <w:ind w:left="34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оказание помощи школьникам в определении собственных представлений о современных правовых и моральных ценностях общества.</w:t>
      </w:r>
    </w:p>
    <w:p w14:paraId="6A11DF31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Занятия правовой грамотности могут быть организованы в рамках учебной деятельности:</w:t>
      </w:r>
    </w:p>
    <w:p w14:paraId="4AAC3B15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— изучение основ правовых знаний на уроках предмета «Окружающий мир» в начальной школе;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 разъяснение административного и уголовного законодательства об ответственности несовершеннолетних за совершение правонарушений на уроках предметов «Обществознание», «Право», «ОБЖ»;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 изучение становления и развития права в рамках предмета «История».</w:t>
      </w:r>
    </w:p>
    <w:p w14:paraId="4C637E21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Во внеурочной работе, при проведении внеклассных мероприятий, мероприятия по правовому просвещению могут носить разнообразный характер:</w:t>
      </w:r>
    </w:p>
    <w:p w14:paraId="1FEA883D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Беседы, лекции для обучающихся на правовую тематику с привлечением к проведению мероприятий общественных организаций, представителей правоохранительных органов, преподавателей и студентов юридических факультетов высших учебных заведений в качестве лекторов, а также родительской общественности.</w:t>
      </w:r>
    </w:p>
    <w:p w14:paraId="0379543F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Мероприятия с использованием интерактивных методов, обеспечивающие личное участие обучающихся в предлагаемой деятельности, вовлечение всех участников в обсуждение поставленных проблем, что будет способствовать выработке умения всесторонне анализировать факты и явления, опираясь на приобретённые навыки и накопленный опыт.</w:t>
      </w:r>
    </w:p>
    <w:p w14:paraId="60A19E52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Мероприятия с использованием игровых форм – ролевые и деловые игры, обсуждение и обыгрывание проблемных ситуаций, взятых из реальной жизни или художественных источников, инсценировки судебных процессов, жизненных правовых ситуаций. Использование инсценировок и ролевых игр при проведении таких мероприятий позволяет разнообразить процесс обучения, мотивировать обучающихся к самостоятельному поиску информации, формировать ответственное отношение к выполняемому делу, учит работать в коллективе, выражать и грамотно отстаивать своё мнение.</w:t>
      </w:r>
    </w:p>
    <w:p w14:paraId="33439ACA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Социально значимые проекты, конкурсы, акции, направленные на формирование гражданско-правового сознания (подготовка творческого задания, презентации, создание видеоролика, проведение исследований и т. д.).</w:t>
      </w:r>
    </w:p>
    <w:p w14:paraId="4395F98B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 xml:space="preserve">Электронная форма правового просвещения – организация </w:t>
      </w:r>
      <w:proofErr w:type="spellStart"/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видеолекций</w:t>
      </w:r>
      <w:proofErr w:type="spellEnd"/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, конференций, использование информационных материалов и различных электронных ресурсов, в том числе МЭШ, для организации и проведения классных часов, внеклассных мероприятий и др.</w:t>
      </w:r>
    </w:p>
    <w:p w14:paraId="6B93323E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Совместная продуктивная деятельность – изготовление учащимися информационно-дидактических материалов: буклетов, брошюр, справочных материалов по изучаемым правовым темам.</w:t>
      </w:r>
    </w:p>
    <w:p w14:paraId="08FB722F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Проведение собраний по правовому консультированию родителей (законных представителей) по вопросам прав детей с привлечением представителей школьных служб примирения, социальных служб, правоохранительных органов, юристов, а также индивидуальное консультирование в области юридических аспектов опеки и детско-родительских отношений для родителей учащихся, попавших в трудную жизненную ситуацию, опекунов (приёмных родителей), законных представителей детей с ограниченными возможностями здоровья.</w:t>
      </w:r>
    </w:p>
    <w:p w14:paraId="315819B7" w14:textId="77777777" w:rsidR="00DC03F8" w:rsidRPr="00DC03F8" w:rsidRDefault="00DC03F8" w:rsidP="00DC03F8">
      <w:pPr>
        <w:numPr>
          <w:ilvl w:val="0"/>
          <w:numId w:val="2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Размещение на публичном пространстве образовательной организации информации, посвящённой аспектам гражданско-правовой культуры.</w:t>
      </w:r>
    </w:p>
    <w:p w14:paraId="1BDF5481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Проведение таких мероприятий не только повысит правовую культуру всех участников образовательных отношений, но и сформирует у них активную гражданскую позицию.</w:t>
      </w:r>
    </w:p>
    <w:p w14:paraId="61B9963A" w14:textId="77777777" w:rsidR="00DC03F8" w:rsidRPr="00DC03F8" w:rsidRDefault="00DC03F8" w:rsidP="00DC03F8">
      <w:pPr>
        <w:spacing w:before="204" w:after="204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При организации мероприятий по правовому просвещению важно исходить не только из уровня знаний обучающихся в вопросах права, но и с учётом возраста детей. Так, например, на уровне начального общего образования проведение занятий основывается на игровых формах работы: викторины, игры, конкурсы рисунков, плакатов и т. д.; на уровне основного общего образования при обучении правам ребенка выбор необходимо отдать комплексу познавательных и практических заданий, который учитывает интересы и жизненный опыт учащихся; на уровне среднего общего образования лучше избрать поисково-исследовательской метод и деятельностную практику.</w:t>
      </w:r>
    </w:p>
    <w:p w14:paraId="27C52635" w14:textId="77777777" w:rsidR="00DC03F8" w:rsidRPr="00DC03F8" w:rsidRDefault="00DC03F8" w:rsidP="00DC03F8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>Нормативно-правовые акты, регламентирующие права детей:</w:t>
      </w:r>
    </w:p>
    <w:p w14:paraId="515791C0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6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Декларация прав ребёнка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277F4C11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Конвенция о правах ребёнка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5995EF6E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8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Конституция РФ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80F4532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Гражданский кодекс Российской Федерации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2CDE8122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0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Семейный кодекс Российской Федерации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F0CB364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1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Трудовой кодекс Российской Федерации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554AEC74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2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20.07.1998 № 124-ФЗ «Об основных гарантиях прав ребенка в Российской Федерации»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365DF1FC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3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29.12.2012 № 273-ФЗ «Об образовании в Российской Федерации»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4D193433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4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21.11.2011 № 323-ФЗ «Об основах охраны здоровья граждан в Российской Федерации»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5AF478B2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5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6FC71B47" w14:textId="77777777" w:rsidR="00DC03F8" w:rsidRPr="00DC03F8" w:rsidRDefault="00DC03F8" w:rsidP="00DC03F8">
      <w:pPr>
        <w:numPr>
          <w:ilvl w:val="0"/>
          <w:numId w:val="3"/>
        </w:numPr>
        <w:spacing w:after="0" w:line="396" w:lineRule="atLeast"/>
        <w:ind w:left="465" w:firstLine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16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Федеральный закон от 29.12.2010 № 436-ФЗ «О защите детей от информации, причиняющей вред их здоровью и развитию»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.</w:t>
      </w:r>
    </w:p>
    <w:p w14:paraId="446E7219" w14:textId="6C7BE94D" w:rsidR="00DC03F8" w:rsidRPr="00DC03F8" w:rsidRDefault="00DC03F8" w:rsidP="00DC03F8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>Методические материал</w:t>
      </w:r>
      <w:r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>ы</w:t>
      </w:r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>для  мероприятий</w:t>
      </w:r>
      <w:proofErr w:type="gramEnd"/>
      <w:r w:rsidRPr="00DC03F8">
        <w:rPr>
          <w:rFonts w:ascii="inherit" w:eastAsia="Times New Roman" w:hAnsi="inherit" w:cs="Times New Roman"/>
          <w:b/>
          <w:bCs/>
          <w:color w:val="111316"/>
          <w:sz w:val="24"/>
          <w:szCs w:val="24"/>
          <w:bdr w:val="none" w:sz="0" w:space="0" w:color="auto" w:frame="1"/>
          <w:lang w:eastAsia="ru-RU"/>
        </w:rPr>
        <w:t xml:space="preserve"> Всероссийского дня правовой помощи детям:</w:t>
      </w:r>
    </w:p>
    <w:p w14:paraId="5C1BF3EF" w14:textId="77777777" w:rsidR="00DC03F8" w:rsidRPr="00DC03F8" w:rsidRDefault="00DC03F8" w:rsidP="00DC03F8">
      <w:pPr>
        <w:spacing w:after="0" w:line="396" w:lineRule="atLeast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— </w:t>
      </w:r>
      <w:hyperlink r:id="rId17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http://academy.mosmetod.ru/kollektsiya/konstitutsiya-osnovnoj-zakon-gosudarstva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</w:t>
      </w:r>
      <w:hyperlink r:id="rId18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http://academy.mosmetod.ru/kollektsiya/pravovaya-norma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</w:t>
      </w:r>
      <w:hyperlink r:id="rId19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http://academy.mosmetod.ru/kollektsiya/pravomernoe-povedenie-pravonarushenie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</w:t>
      </w:r>
      <w:hyperlink r:id="rId20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http://academy.mosmetod.ru/kollektsiya/sistema-prava-i-sistema-zakonodatelstva-rossijskoj-federatsii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</w:t>
      </w:r>
      <w:hyperlink r:id="rId21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http://academy.mosmetod.ru/kollektsiya/administrativnaya-otvetstvennost-nesovershennoletnikh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</w:t>
      </w:r>
      <w:hyperlink r:id="rId22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http://academy.mosmetod.ru/kollektsiya/khuliganstvo-i-vandalizm-ot-prostupka-do-prestupleniya-chast-2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</w:t>
      </w:r>
      <w:hyperlink r:id="rId23" w:history="1">
        <w:r w:rsidRPr="00DC03F8">
          <w:rPr>
            <w:rFonts w:ascii="inherit" w:eastAsia="Times New Roman" w:hAnsi="inherit" w:cs="Times New Roman"/>
            <w:color w:val="0780A1"/>
            <w:sz w:val="24"/>
            <w:szCs w:val="24"/>
            <w:u w:val="single"/>
            <w:bdr w:val="none" w:sz="0" w:space="0" w:color="auto" w:frame="1"/>
            <w:lang w:eastAsia="ru-RU"/>
          </w:rPr>
          <w:t>http://life.mosmetod.ru/index.php/category/pravovye-situacii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</w:t>
      </w:r>
      <w:hyperlink r:id="rId24" w:history="1">
        <w:r w:rsidRPr="00DC03F8">
          <w:rPr>
            <w:rFonts w:ascii="inherit" w:eastAsia="Times New Roman" w:hAnsi="inherit" w:cs="Times New Roman"/>
            <w:color w:val="075F75"/>
            <w:sz w:val="24"/>
            <w:szCs w:val="24"/>
            <w:u w:val="single"/>
            <w:bdr w:val="none" w:sz="0" w:space="0" w:color="auto" w:frame="1"/>
            <w:lang w:eastAsia="ru-RU"/>
          </w:rPr>
          <w:t>http://life.mosmetod.ru/index.php/category/pravo</w:t>
        </w:r>
      </w:hyperlink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t>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https://mosmetod.ru/centr/proekty/urok-v-moskve/obshchestvoznanie/ugolovnoe-pravo.html;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https://mosmetod.ru/centr/proekty/urok-v-moskve/obshchestvoznanie/konstitutsii-rf-osnovy-konstitutsionnogo-stroya-rossii.html;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https://mosmetod.ru/centr/proekty/urok-v-moskve/obshchestvoznanie/mezhdunarodnaya-zashchita-prav-cheloveka.html;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https://mosmetod.ru/metodicheskoe-prostranstvo/profilaktika-negativnykh-proyavlenij/metodicheskie-materialy/klassnyj-chas-na-temu-umej-skazat-net.html;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br/>
        <w:t>— https://mosmetod.ru/metodicheskoe-prostranstvo/profilaktika-negativnykh-</w:t>
      </w:r>
      <w:r w:rsidRPr="00DC03F8">
        <w:rPr>
          <w:rFonts w:ascii="inherit" w:eastAsia="Times New Roman" w:hAnsi="inherit" w:cs="Times New Roman"/>
          <w:sz w:val="24"/>
          <w:szCs w:val="24"/>
          <w:lang w:eastAsia="ru-RU"/>
        </w:rPr>
        <w:lastRenderedPageBreak/>
        <w:t>proyavlenij/metodicheskie-materialy/klassnyj-chas-po-profilaktike-pravonarushenij-sredi-nesovershennoletnikh-vysokaya-otvetstvennost.html;</w:t>
      </w:r>
    </w:p>
    <w:p w14:paraId="1B1A2FA8" w14:textId="77777777" w:rsidR="00DC654B" w:rsidRDefault="00DC03F8"/>
    <w:sectPr w:rsidR="00DC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E5EC1"/>
    <w:multiLevelType w:val="multilevel"/>
    <w:tmpl w:val="A552C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A592D"/>
    <w:multiLevelType w:val="multilevel"/>
    <w:tmpl w:val="AA86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E51DA3"/>
    <w:multiLevelType w:val="multilevel"/>
    <w:tmpl w:val="5C76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2F"/>
    <w:rsid w:val="00110C33"/>
    <w:rsid w:val="008D0B14"/>
    <w:rsid w:val="00A2492F"/>
    <w:rsid w:val="00DC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F1E4"/>
  <w15:chartTrackingRefBased/>
  <w15:docId w15:val="{A89CBBF1-F863-44FC-9156-86A8C27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constitution" TargetMode="External"/><Relationship Id="rId13" Type="http://schemas.openxmlformats.org/officeDocument/2006/relationships/hyperlink" Target="http://www.kremlin.ru/acts/bank/36698" TargetMode="External"/><Relationship Id="rId18" Type="http://schemas.openxmlformats.org/officeDocument/2006/relationships/hyperlink" Target="http://academy.mosmetod.ru/kollektsiya/pravovaya-norm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cademy.mosmetod.ru/kollektsiya/administrativnaya-otvetstvennost-nesovershennoletnikh" TargetMode="External"/><Relationship Id="rId7" Type="http://schemas.openxmlformats.org/officeDocument/2006/relationships/hyperlink" Target="https://www.un.org/ru/documents/decl_conv/conventions/childcon.shtml" TargetMode="External"/><Relationship Id="rId12" Type="http://schemas.openxmlformats.org/officeDocument/2006/relationships/hyperlink" Target="http://www.kremlin.ru/acts/bank/12706" TargetMode="External"/><Relationship Id="rId17" Type="http://schemas.openxmlformats.org/officeDocument/2006/relationships/hyperlink" Target="http://academy.mosmetod.ru/kollektsiya/konstitutsiya-osnovnoj-zakon-gosudarstv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54151" TargetMode="External"/><Relationship Id="rId20" Type="http://schemas.openxmlformats.org/officeDocument/2006/relationships/hyperlink" Target="http://academy.mosmetod.ru/kollektsiya/sistema-prava-i-sistema-zakonodatelstva-rossijskoj-federatsi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n.org/ru/documents/decl_conv/declarations/childdec.shtml" TargetMode="External"/><Relationship Id="rId11" Type="http://schemas.openxmlformats.org/officeDocument/2006/relationships/hyperlink" Target="https://base.garant.ru/12125268/" TargetMode="External"/><Relationship Id="rId24" Type="http://schemas.openxmlformats.org/officeDocument/2006/relationships/hyperlink" Target="http://life.mosmetod.ru/index.php/category/pravo" TargetMode="External"/><Relationship Id="rId5" Type="http://schemas.openxmlformats.org/officeDocument/2006/relationships/hyperlink" Target="https://www.un.org/ru/documents/decl_conv/declarations/childdec.shtml" TargetMode="External"/><Relationship Id="rId15" Type="http://schemas.openxmlformats.org/officeDocument/2006/relationships/hyperlink" Target="http://docs.cntd.ru/document/9043973" TargetMode="External"/><Relationship Id="rId23" Type="http://schemas.openxmlformats.org/officeDocument/2006/relationships/hyperlink" Target="http://life.mosmetod.ru/index.php/category/pravovye-situacii" TargetMode="External"/><Relationship Id="rId10" Type="http://schemas.openxmlformats.org/officeDocument/2006/relationships/hyperlink" Target="https://base.garant.ru/10105807/" TargetMode="External"/><Relationship Id="rId19" Type="http://schemas.openxmlformats.org/officeDocument/2006/relationships/hyperlink" Target="http://academy.mosmetod.ru/kollektsiya/pravomernoe-povedenie-pravonarus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64072/7d7b9c31284350c257ca3649122f627b/" TargetMode="External"/><Relationship Id="rId14" Type="http://schemas.openxmlformats.org/officeDocument/2006/relationships/hyperlink" Target="http://docs.cntd.ru/document/902312609" TargetMode="External"/><Relationship Id="rId22" Type="http://schemas.openxmlformats.org/officeDocument/2006/relationships/hyperlink" Target="http://academy.mosmetod.ru/kollektsiya/khuliganstvo-i-vandalizm-ot-prostupka-do-prestupleniya-chast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1793</Words>
  <Characters>10225</Characters>
  <Application>Microsoft Office Word</Application>
  <DocSecurity>0</DocSecurity>
  <Lines>85</Lines>
  <Paragraphs>23</Paragraphs>
  <ScaleCrop>false</ScaleCrop>
  <Company/>
  <LinksUpToDate>false</LinksUpToDate>
  <CharactersWithSpaces>11995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vera.sotnikova.1969@bk.ru</dc:creator>
  <cp:keywords/>
  <dc:description/>
  <cp:lastModifiedBy>vera.sotnikova.1969@bk.ru</cp:lastModifiedBy>
  <cp:revision>2</cp:revision>
  <dcterms:created xsi:type="dcterms:W3CDTF">2021-12-16T16:13:00Z</dcterms:created>
  <dcterms:modified xsi:type="dcterms:W3CDTF">2021-12-16T16:33:00Z</dcterms:modified>
</cp:coreProperties>
</file>